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01384" w14:textId="74419B40" w:rsidR="00856AFE" w:rsidRDefault="006C5185" w:rsidP="001840DF">
      <w:pPr>
        <w:jc w:val="center"/>
        <w:rPr>
          <w:rFonts w:ascii="Times" w:hAnsi="Times"/>
        </w:rPr>
      </w:pPr>
      <w:r w:rsidRPr="00254763">
        <w:rPr>
          <w:rFonts w:ascii="Times" w:hAnsi="Times"/>
        </w:rPr>
        <w:t>Duration of Antimicrobial Therapy for Complic</w:t>
      </w:r>
      <w:r w:rsidR="001840DF">
        <w:rPr>
          <w:rFonts w:ascii="Times" w:hAnsi="Times"/>
        </w:rPr>
        <w:t>ated Intra-abdominal Infections</w:t>
      </w:r>
    </w:p>
    <w:p w14:paraId="30061432" w14:textId="225980DE" w:rsidR="001840DF" w:rsidRPr="00254763" w:rsidRDefault="001840DF" w:rsidP="001840DF">
      <w:pPr>
        <w:jc w:val="center"/>
        <w:rPr>
          <w:rFonts w:ascii="Times" w:hAnsi="Times"/>
        </w:rPr>
      </w:pPr>
      <w:r>
        <w:rPr>
          <w:rFonts w:ascii="Times" w:hAnsi="Times"/>
        </w:rPr>
        <w:t>Tessa Wiley, UAMS P4</w:t>
      </w:r>
      <w:bookmarkStart w:id="0" w:name="_GoBack"/>
      <w:bookmarkEnd w:id="0"/>
    </w:p>
    <w:p w14:paraId="3D8974F0" w14:textId="77777777" w:rsidR="006C5185" w:rsidRPr="00254763" w:rsidRDefault="006C5185">
      <w:pPr>
        <w:rPr>
          <w:rFonts w:ascii="Times" w:hAnsi="Times"/>
        </w:rPr>
      </w:pPr>
    </w:p>
    <w:p w14:paraId="5D57E7B0" w14:textId="09985D58" w:rsidR="006C5185" w:rsidRPr="00DF5FD4" w:rsidRDefault="00B31360" w:rsidP="004C3076">
      <w:pPr>
        <w:widowControl w:val="0"/>
        <w:autoSpaceDE w:val="0"/>
        <w:autoSpaceDN w:val="0"/>
        <w:adjustRightInd w:val="0"/>
        <w:spacing w:after="240"/>
        <w:ind w:firstLine="720"/>
        <w:rPr>
          <w:rFonts w:ascii="Times" w:hAnsi="Times" w:cs="Times"/>
        </w:rPr>
      </w:pPr>
      <w:r>
        <w:rPr>
          <w:rFonts w:ascii="Times" w:hAnsi="Times" w:cs="Times"/>
        </w:rPr>
        <w:t>I</w:t>
      </w:r>
      <w:r w:rsidR="006C5185" w:rsidRPr="00254763">
        <w:rPr>
          <w:rFonts w:ascii="Times" w:hAnsi="Times" w:cs="Times"/>
        </w:rPr>
        <w:t>ntra</w:t>
      </w:r>
      <w:r w:rsidR="00593CFB" w:rsidRPr="00254763">
        <w:rPr>
          <w:rFonts w:ascii="Times" w:hAnsi="Times" w:cs="Times"/>
        </w:rPr>
        <w:t>-</w:t>
      </w:r>
      <w:r w:rsidR="006C5185" w:rsidRPr="00254763">
        <w:rPr>
          <w:rFonts w:ascii="Times" w:hAnsi="Times" w:cs="Times"/>
        </w:rPr>
        <w:t>abdominal infections continue to be a common problem for most hospitals in the United States, with approximately 300,000 cases of appendicitis occur</w:t>
      </w:r>
      <w:r w:rsidR="00593CFB" w:rsidRPr="00254763">
        <w:rPr>
          <w:rFonts w:ascii="Times" w:hAnsi="Times" w:cs="Times"/>
        </w:rPr>
        <w:t>r</w:t>
      </w:r>
      <w:r w:rsidR="006C5185" w:rsidRPr="00254763">
        <w:rPr>
          <w:rFonts w:ascii="Times" w:hAnsi="Times" w:cs="Times"/>
        </w:rPr>
        <w:t>ing each year.</w:t>
      </w:r>
      <w:r w:rsidR="00254763" w:rsidRPr="00254763">
        <w:rPr>
          <w:rFonts w:ascii="Times" w:hAnsi="Times" w:cs="Times"/>
          <w:position w:val="8"/>
          <w:sz w:val="18"/>
          <w:szCs w:val="18"/>
        </w:rPr>
        <w:t>1</w:t>
      </w:r>
      <w:r w:rsidR="00833DBF">
        <w:rPr>
          <w:rFonts w:ascii="Times" w:hAnsi="Times" w:cs="Times"/>
          <w:position w:val="8"/>
          <w:sz w:val="18"/>
          <w:szCs w:val="18"/>
        </w:rPr>
        <w:t>,2</w:t>
      </w:r>
      <w:r w:rsidR="006C5185" w:rsidRPr="00254763">
        <w:rPr>
          <w:rFonts w:ascii="Times" w:hAnsi="Times" w:cs="Times"/>
          <w:position w:val="8"/>
          <w:sz w:val="18"/>
          <w:szCs w:val="18"/>
        </w:rPr>
        <w:t xml:space="preserve"> </w:t>
      </w:r>
      <w:r w:rsidR="006C5185" w:rsidRPr="00254763">
        <w:rPr>
          <w:rFonts w:ascii="Times" w:hAnsi="Times" w:cs="Times"/>
        </w:rPr>
        <w:t>Infectious Dis</w:t>
      </w:r>
      <w:r w:rsidR="00254763" w:rsidRPr="00254763">
        <w:rPr>
          <w:rFonts w:ascii="Times" w:hAnsi="Times" w:cs="Times"/>
        </w:rPr>
        <w:t>eases Society of America (IDSA)</w:t>
      </w:r>
      <w:r w:rsidR="006C5185" w:rsidRPr="00254763">
        <w:rPr>
          <w:rFonts w:ascii="Times" w:hAnsi="Times" w:cs="Times"/>
        </w:rPr>
        <w:t xml:space="preserve"> </w:t>
      </w:r>
      <w:r w:rsidR="004C3076">
        <w:rPr>
          <w:rFonts w:ascii="Times" w:hAnsi="Times" w:cs="Times"/>
        </w:rPr>
        <w:t xml:space="preserve">guidelines for intra-abdominal infections </w:t>
      </w:r>
      <w:r w:rsidR="006C5185" w:rsidRPr="00254763">
        <w:rPr>
          <w:rFonts w:ascii="Times" w:hAnsi="Times" w:cs="Times"/>
        </w:rPr>
        <w:t>recommend a treat</w:t>
      </w:r>
      <w:r w:rsidR="00593CFB" w:rsidRPr="00254763">
        <w:rPr>
          <w:rFonts w:ascii="Times" w:hAnsi="Times" w:cs="Times"/>
        </w:rPr>
        <w:t>ment course of 4 to 7 days, de</w:t>
      </w:r>
      <w:r w:rsidR="006C5185" w:rsidRPr="00254763">
        <w:rPr>
          <w:rFonts w:ascii="Times" w:hAnsi="Times" w:cs="Times"/>
        </w:rPr>
        <w:t>pending on the clinical response.</w:t>
      </w:r>
      <w:r w:rsidR="00254763" w:rsidRPr="00254763">
        <w:rPr>
          <w:rFonts w:ascii="Times" w:hAnsi="Times" w:cs="Times"/>
          <w:position w:val="8"/>
          <w:sz w:val="18"/>
          <w:szCs w:val="18"/>
        </w:rPr>
        <w:t>3</w:t>
      </w:r>
      <w:r w:rsidR="006C5185" w:rsidRPr="00254763">
        <w:rPr>
          <w:rFonts w:ascii="Times" w:hAnsi="Times" w:cs="Times"/>
          <w:position w:val="8"/>
        </w:rPr>
        <w:t xml:space="preserve"> </w:t>
      </w:r>
      <w:r w:rsidR="004C3076">
        <w:rPr>
          <w:rFonts w:ascii="Times" w:hAnsi="Times"/>
        </w:rPr>
        <w:t>The STOP-IT trial</w:t>
      </w:r>
      <w:r w:rsidR="00254763">
        <w:rPr>
          <w:rFonts w:ascii="Times" w:hAnsi="Times"/>
        </w:rPr>
        <w:t xml:space="preserve"> was published </w:t>
      </w:r>
      <w:r w:rsidR="004C3076">
        <w:rPr>
          <w:rFonts w:ascii="Times" w:hAnsi="Times"/>
        </w:rPr>
        <w:t>in May and</w:t>
      </w:r>
      <w:r w:rsidR="00254763">
        <w:rPr>
          <w:rFonts w:ascii="Times" w:hAnsi="Times"/>
        </w:rPr>
        <w:t xml:space="preserve"> studied</w:t>
      </w:r>
      <w:r w:rsidR="00593CFB" w:rsidRPr="00254763">
        <w:rPr>
          <w:rFonts w:ascii="Times" w:hAnsi="Times"/>
        </w:rPr>
        <w:t xml:space="preserve"> the duration of antimicrobial treatment for patients with complica</w:t>
      </w:r>
      <w:r w:rsidR="004C3076">
        <w:rPr>
          <w:rFonts w:ascii="Times" w:hAnsi="Times"/>
        </w:rPr>
        <w:t>ted intra-abdominal infections</w:t>
      </w:r>
      <w:r w:rsidR="00593CFB" w:rsidRPr="00254763">
        <w:rPr>
          <w:rFonts w:ascii="Times" w:hAnsi="Times"/>
        </w:rPr>
        <w:t xml:space="preserve">. </w:t>
      </w:r>
      <w:r w:rsidR="00AE1CE0" w:rsidRPr="00254763">
        <w:rPr>
          <w:rFonts w:ascii="Times" w:hAnsi="Times"/>
        </w:rPr>
        <w:t xml:space="preserve">The </w:t>
      </w:r>
      <w:r w:rsidR="00254763">
        <w:rPr>
          <w:rFonts w:ascii="Times" w:hAnsi="Times"/>
        </w:rPr>
        <w:t xml:space="preserve">trial </w:t>
      </w:r>
      <w:r w:rsidR="00AE1CE0" w:rsidRPr="00254763">
        <w:rPr>
          <w:rFonts w:ascii="Times" w:hAnsi="Times"/>
        </w:rPr>
        <w:t xml:space="preserve">compared </w:t>
      </w:r>
      <w:r w:rsidR="00AE1CE0" w:rsidRPr="00254763">
        <w:rPr>
          <w:rFonts w:ascii="Times" w:hAnsi="Times" w:cs="Times"/>
        </w:rPr>
        <w:t xml:space="preserve">4 full days of </w:t>
      </w:r>
      <w:r w:rsidR="004C3076">
        <w:rPr>
          <w:rFonts w:ascii="Times" w:hAnsi="Times" w:cs="Times"/>
        </w:rPr>
        <w:t>antibiotics</w:t>
      </w:r>
      <w:r w:rsidR="00AE1CE0" w:rsidRPr="00254763">
        <w:rPr>
          <w:rFonts w:ascii="Times" w:hAnsi="Times" w:cs="Times"/>
        </w:rPr>
        <w:t xml:space="preserve"> after</w:t>
      </w:r>
      <w:r w:rsidR="004C3076">
        <w:rPr>
          <w:rFonts w:ascii="Times" w:hAnsi="Times" w:cs="Times"/>
        </w:rPr>
        <w:t xml:space="preserve"> a</w:t>
      </w:r>
      <w:r w:rsidR="00AE1CE0" w:rsidRPr="00254763">
        <w:rPr>
          <w:rFonts w:ascii="Times" w:hAnsi="Times" w:cs="Times"/>
        </w:rPr>
        <w:t xml:space="preserve"> source-control procedure to </w:t>
      </w:r>
      <w:r w:rsidR="004C3076">
        <w:rPr>
          <w:rFonts w:ascii="Times" w:hAnsi="Times" w:cs="Times"/>
        </w:rPr>
        <w:t>antibiotics given</w:t>
      </w:r>
      <w:r w:rsidR="00AE1CE0" w:rsidRPr="00254763">
        <w:rPr>
          <w:rFonts w:ascii="Times" w:hAnsi="Times" w:cs="Times"/>
        </w:rPr>
        <w:t xml:space="preserve"> until 2 days after the </w:t>
      </w:r>
      <w:r w:rsidR="004C3076">
        <w:rPr>
          <w:rFonts w:ascii="Times" w:hAnsi="Times" w:cs="Times"/>
        </w:rPr>
        <w:t>resolution of</w:t>
      </w:r>
      <w:r w:rsidR="00254763">
        <w:rPr>
          <w:rFonts w:ascii="Times" w:hAnsi="Times" w:cs="Times"/>
        </w:rPr>
        <w:t xml:space="preserve"> SIRS criteria.</w:t>
      </w:r>
      <w:r w:rsidR="00AE1CE0" w:rsidRPr="00254763">
        <w:rPr>
          <w:rFonts w:ascii="Times" w:hAnsi="Times" w:cs="Times"/>
        </w:rPr>
        <w:t xml:space="preserve"> </w:t>
      </w:r>
      <w:r w:rsidR="00254763">
        <w:rPr>
          <w:rFonts w:ascii="Times" w:hAnsi="Times" w:cs="Times"/>
        </w:rPr>
        <w:t>The p</w:t>
      </w:r>
      <w:r w:rsidR="00C067BD" w:rsidRPr="00254763">
        <w:rPr>
          <w:rFonts w:ascii="Times" w:hAnsi="Times" w:cs="Times"/>
        </w:rPr>
        <w:t xml:space="preserve">rimary outcome </w:t>
      </w:r>
      <w:r w:rsidR="004C3076">
        <w:rPr>
          <w:rFonts w:ascii="Times" w:hAnsi="Times" w:cs="Times"/>
        </w:rPr>
        <w:t>included</w:t>
      </w:r>
      <w:r w:rsidR="00C067BD" w:rsidRPr="00254763">
        <w:rPr>
          <w:rFonts w:ascii="Times" w:hAnsi="Times" w:cs="Times"/>
        </w:rPr>
        <w:t xml:space="preserve"> </w:t>
      </w:r>
      <w:r w:rsidR="004C3076">
        <w:rPr>
          <w:rFonts w:ascii="Times" w:hAnsi="Times" w:cs="Times"/>
        </w:rPr>
        <w:t xml:space="preserve">a </w:t>
      </w:r>
      <w:r w:rsidR="00C067BD" w:rsidRPr="00254763">
        <w:rPr>
          <w:rFonts w:ascii="Times" w:hAnsi="Times" w:cs="Times"/>
        </w:rPr>
        <w:t>composite of surgical site infection, recurrent intra-abdominal infection</w:t>
      </w:r>
      <w:r w:rsidR="00254763">
        <w:rPr>
          <w:rFonts w:ascii="Times" w:hAnsi="Times" w:cs="Times"/>
        </w:rPr>
        <w:t>,</w:t>
      </w:r>
      <w:r w:rsidR="000A767B">
        <w:rPr>
          <w:rFonts w:ascii="Times" w:hAnsi="Times" w:cs="Times"/>
        </w:rPr>
        <w:t xml:space="preserve"> or death within 30 days. S</w:t>
      </w:r>
      <w:r w:rsidR="00C067BD" w:rsidRPr="00254763">
        <w:rPr>
          <w:rFonts w:ascii="Times" w:hAnsi="Times" w:cs="Times"/>
        </w:rPr>
        <w:t>econdary outcomes include</w:t>
      </w:r>
      <w:r w:rsidR="00254763">
        <w:rPr>
          <w:rFonts w:ascii="Times" w:hAnsi="Times" w:cs="Times"/>
        </w:rPr>
        <w:t>d</w:t>
      </w:r>
      <w:r w:rsidR="00C067BD" w:rsidRPr="00254763">
        <w:rPr>
          <w:rFonts w:ascii="Times" w:hAnsi="Times" w:cs="Times"/>
        </w:rPr>
        <w:t xml:space="preserve"> duration of therapy and rates of subsequent infections. </w:t>
      </w:r>
      <w:r w:rsidR="00AE1CE0" w:rsidRPr="00254763">
        <w:rPr>
          <w:rFonts w:ascii="Times" w:hAnsi="Times" w:cs="Times"/>
        </w:rPr>
        <w:t>T</w:t>
      </w:r>
      <w:r w:rsidR="004C3076">
        <w:rPr>
          <w:rFonts w:ascii="Times" w:hAnsi="Times" w:cs="Times"/>
        </w:rPr>
        <w:t>he investigators found that there</w:t>
      </w:r>
      <w:r w:rsidR="00AE1CE0" w:rsidRPr="00254763">
        <w:rPr>
          <w:rFonts w:ascii="Times" w:hAnsi="Times" w:cs="Times"/>
        </w:rPr>
        <w:t xml:space="preserve"> was no significant difference between the control and experimental group regarding </w:t>
      </w:r>
      <w:r w:rsidR="004C3076">
        <w:rPr>
          <w:rFonts w:ascii="Times" w:hAnsi="Times" w:cs="Times"/>
        </w:rPr>
        <w:t>these</w:t>
      </w:r>
      <w:r w:rsidR="00AE1CE0" w:rsidRPr="00254763">
        <w:rPr>
          <w:rFonts w:ascii="Times" w:hAnsi="Times" w:cs="Times"/>
        </w:rPr>
        <w:t xml:space="preserve"> outcomes. The </w:t>
      </w:r>
      <w:r w:rsidR="00C067BD" w:rsidRPr="00254763">
        <w:rPr>
          <w:rFonts w:ascii="Times" w:hAnsi="Times" w:cs="Times"/>
        </w:rPr>
        <w:t>results of this trial show that</w:t>
      </w:r>
      <w:r w:rsidR="00254763">
        <w:rPr>
          <w:rFonts w:ascii="Times" w:hAnsi="Times" w:cs="Times"/>
        </w:rPr>
        <w:t xml:space="preserve"> a</w:t>
      </w:r>
      <w:r w:rsidR="00C067BD" w:rsidRPr="00254763">
        <w:rPr>
          <w:rFonts w:ascii="Times" w:hAnsi="Times" w:cs="Times"/>
        </w:rPr>
        <w:t xml:space="preserve"> </w:t>
      </w:r>
      <w:r w:rsidR="004C3076">
        <w:rPr>
          <w:rFonts w:ascii="Times" w:hAnsi="Times" w:cs="Times"/>
        </w:rPr>
        <w:t>shorter course</w:t>
      </w:r>
      <w:r w:rsidR="00AE1CE0" w:rsidRPr="00254763">
        <w:rPr>
          <w:rFonts w:ascii="Times" w:hAnsi="Times" w:cs="Times"/>
        </w:rPr>
        <w:t xml:space="preserve"> of </w:t>
      </w:r>
      <w:r w:rsidR="00C067BD" w:rsidRPr="00254763">
        <w:rPr>
          <w:rFonts w:ascii="Times" w:hAnsi="Times" w:cs="Times"/>
        </w:rPr>
        <w:t>antibiotics</w:t>
      </w:r>
      <w:r w:rsidR="00AE1CE0" w:rsidRPr="00254763">
        <w:rPr>
          <w:rFonts w:ascii="Times" w:hAnsi="Times" w:cs="Times"/>
        </w:rPr>
        <w:t xml:space="preserve"> appear</w:t>
      </w:r>
      <w:r w:rsidR="00254763">
        <w:rPr>
          <w:rFonts w:ascii="Times" w:hAnsi="Times" w:cs="Times"/>
        </w:rPr>
        <w:t>s</w:t>
      </w:r>
      <w:r w:rsidR="00AE1CE0" w:rsidRPr="00254763">
        <w:rPr>
          <w:rFonts w:ascii="Times" w:hAnsi="Times" w:cs="Times"/>
        </w:rPr>
        <w:t xml:space="preserve"> to be similar </w:t>
      </w:r>
      <w:r w:rsidR="004C3076">
        <w:rPr>
          <w:rFonts w:ascii="Times" w:hAnsi="Times" w:cs="Times"/>
        </w:rPr>
        <w:t>in</w:t>
      </w:r>
      <w:r w:rsidR="00AE1CE0" w:rsidRPr="00254763">
        <w:rPr>
          <w:rFonts w:ascii="Times" w:hAnsi="Times" w:cs="Times"/>
        </w:rPr>
        <w:t xml:space="preserve"> outcomes </w:t>
      </w:r>
      <w:r w:rsidR="004C3076">
        <w:rPr>
          <w:rFonts w:ascii="Times" w:hAnsi="Times" w:cs="Times"/>
        </w:rPr>
        <w:t>to antibiotics received until resolution of signs and symptoms of sepsis.</w:t>
      </w:r>
      <w:r w:rsidR="00DF5FD4">
        <w:rPr>
          <w:rFonts w:ascii="Times" w:hAnsi="Times" w:cs="Times"/>
          <w:vertAlign w:val="superscript"/>
        </w:rPr>
        <w:t>4</w:t>
      </w:r>
    </w:p>
    <w:p w14:paraId="1060363D" w14:textId="77777777" w:rsidR="006C5185" w:rsidRPr="00254763" w:rsidRDefault="006C5185">
      <w:pPr>
        <w:rPr>
          <w:rFonts w:ascii="Times" w:hAnsi="Times"/>
        </w:rPr>
      </w:pPr>
      <w:r w:rsidRPr="00254763">
        <w:rPr>
          <w:rFonts w:ascii="Times" w:hAnsi="Times"/>
        </w:rPr>
        <w:t xml:space="preserve">Resources: </w:t>
      </w:r>
    </w:p>
    <w:p w14:paraId="560D79D5" w14:textId="77777777" w:rsidR="006C5185" w:rsidRPr="00254763" w:rsidRDefault="006C5185">
      <w:pPr>
        <w:rPr>
          <w:rFonts w:ascii="Times" w:hAnsi="Times"/>
        </w:rPr>
      </w:pPr>
    </w:p>
    <w:p w14:paraId="5E07B8A5" w14:textId="77777777" w:rsidR="006C5185" w:rsidRPr="00254763" w:rsidRDefault="006C5185" w:rsidP="006C51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 w:rsidRPr="00254763">
        <w:rPr>
          <w:rFonts w:ascii="Times" w:hAnsi="Times" w:cs="Times"/>
        </w:rPr>
        <w:t>DeFrances</w:t>
      </w:r>
      <w:proofErr w:type="spellEnd"/>
      <w:r w:rsidRPr="00254763">
        <w:rPr>
          <w:rFonts w:ascii="Times" w:hAnsi="Times" w:cs="Times"/>
        </w:rPr>
        <w:t xml:space="preserve"> CJ, Cullen KA, </w:t>
      </w:r>
      <w:proofErr w:type="spellStart"/>
      <w:r w:rsidRPr="00254763">
        <w:rPr>
          <w:rFonts w:ascii="Times" w:hAnsi="Times" w:cs="Times"/>
        </w:rPr>
        <w:t>Kozak</w:t>
      </w:r>
      <w:proofErr w:type="spellEnd"/>
      <w:r w:rsidRPr="00254763">
        <w:rPr>
          <w:rFonts w:ascii="Times" w:hAnsi="Times" w:cs="Times"/>
        </w:rPr>
        <w:t xml:space="preserve"> LJ. National Hospital Discharge Survey: 2005 annual summary with detailed diagnosis and procedure data. Vital Health Stat 13 2007</w:t>
      </w:r>
      <w:proofErr w:type="gramStart"/>
      <w:r w:rsidRPr="00254763">
        <w:rPr>
          <w:rFonts w:ascii="Times" w:hAnsi="Times" w:cs="Times"/>
        </w:rPr>
        <w:t>;165:1</w:t>
      </w:r>
      <w:proofErr w:type="gramEnd"/>
      <w:r w:rsidRPr="00254763">
        <w:rPr>
          <w:rFonts w:ascii="Times" w:hAnsi="Times" w:cs="Times"/>
        </w:rPr>
        <w:t>-209.</w:t>
      </w:r>
    </w:p>
    <w:p w14:paraId="69436ABB" w14:textId="77777777" w:rsidR="006C5185" w:rsidRPr="00254763" w:rsidRDefault="006C5185" w:rsidP="006C51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 w:rsidRPr="00254763">
        <w:rPr>
          <w:rFonts w:ascii="Times" w:hAnsi="Times" w:cs="Times"/>
        </w:rPr>
        <w:t>Sartelli</w:t>
      </w:r>
      <w:proofErr w:type="spellEnd"/>
      <w:r w:rsidRPr="00254763">
        <w:rPr>
          <w:rFonts w:ascii="Times" w:hAnsi="Times" w:cs="Times"/>
        </w:rPr>
        <w:t xml:space="preserve"> M, Catena F, </w:t>
      </w:r>
      <w:proofErr w:type="spellStart"/>
      <w:r w:rsidRPr="00254763">
        <w:rPr>
          <w:rFonts w:ascii="Times" w:hAnsi="Times" w:cs="Times"/>
        </w:rPr>
        <w:t>Ansaloni</w:t>
      </w:r>
      <w:proofErr w:type="spellEnd"/>
      <w:r w:rsidRPr="00254763">
        <w:rPr>
          <w:rFonts w:ascii="Times" w:hAnsi="Times" w:cs="Times"/>
        </w:rPr>
        <w:t xml:space="preserve"> L, et al. Complicated intra-abdominal infections worldwide: the definitive data of the CIAOW Study. World J </w:t>
      </w:r>
      <w:proofErr w:type="spellStart"/>
      <w:r w:rsidRPr="00254763">
        <w:rPr>
          <w:rFonts w:ascii="Times" w:hAnsi="Times" w:cs="Times"/>
        </w:rPr>
        <w:t>Emerg</w:t>
      </w:r>
      <w:proofErr w:type="spellEnd"/>
      <w:r w:rsidRPr="00254763">
        <w:rPr>
          <w:rFonts w:ascii="Times" w:hAnsi="Times" w:cs="Times"/>
        </w:rPr>
        <w:t xml:space="preserve"> </w:t>
      </w:r>
      <w:proofErr w:type="spellStart"/>
      <w:r w:rsidRPr="00254763">
        <w:rPr>
          <w:rFonts w:ascii="Times" w:hAnsi="Times" w:cs="Times"/>
        </w:rPr>
        <w:t>Surg</w:t>
      </w:r>
      <w:proofErr w:type="spellEnd"/>
      <w:r w:rsidRPr="00254763">
        <w:rPr>
          <w:rFonts w:ascii="Times" w:hAnsi="Times" w:cs="Times"/>
        </w:rPr>
        <w:t xml:space="preserve"> 2014</w:t>
      </w:r>
      <w:proofErr w:type="gramStart"/>
      <w:r w:rsidRPr="00254763">
        <w:rPr>
          <w:rFonts w:ascii="Times" w:hAnsi="Times" w:cs="Times"/>
        </w:rPr>
        <w:t>;9:37</w:t>
      </w:r>
      <w:proofErr w:type="gramEnd"/>
      <w:r w:rsidRPr="00254763">
        <w:rPr>
          <w:rFonts w:ascii="Times" w:hAnsi="Times" w:cs="Times"/>
        </w:rPr>
        <w:t xml:space="preserve">. </w:t>
      </w:r>
    </w:p>
    <w:p w14:paraId="5A626B23" w14:textId="77777777" w:rsidR="000A767B" w:rsidRPr="00254763" w:rsidRDefault="000A767B" w:rsidP="002547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 w:rsidRPr="00254763">
        <w:rPr>
          <w:rFonts w:ascii="Times" w:hAnsi="Times" w:cs="Times"/>
        </w:rPr>
        <w:t>Solomkin</w:t>
      </w:r>
      <w:proofErr w:type="spellEnd"/>
      <w:r w:rsidRPr="00254763">
        <w:rPr>
          <w:rFonts w:ascii="Times" w:hAnsi="Times" w:cs="Times"/>
        </w:rPr>
        <w:t xml:space="preserve"> JS, </w:t>
      </w:r>
      <w:proofErr w:type="spellStart"/>
      <w:r w:rsidRPr="00254763">
        <w:rPr>
          <w:rFonts w:ascii="Times" w:hAnsi="Times" w:cs="Times"/>
        </w:rPr>
        <w:t>Mazuski</w:t>
      </w:r>
      <w:proofErr w:type="spellEnd"/>
      <w:r w:rsidRPr="00254763">
        <w:rPr>
          <w:rFonts w:ascii="Times" w:hAnsi="Times" w:cs="Times"/>
        </w:rPr>
        <w:t xml:space="preserve"> JE, Bradley JS, et al. Diagnosis and management of complicated intra-abdominal infection in adults and children: guidelines by the Surgical Infection Society and the Infectious Diseases Society of America. </w:t>
      </w:r>
      <w:proofErr w:type="spellStart"/>
      <w:r w:rsidRPr="00254763">
        <w:rPr>
          <w:rFonts w:ascii="Times" w:hAnsi="Times" w:cs="Times"/>
        </w:rPr>
        <w:t>Clin</w:t>
      </w:r>
      <w:proofErr w:type="spellEnd"/>
      <w:r w:rsidRPr="00254763">
        <w:rPr>
          <w:rFonts w:ascii="Times" w:hAnsi="Times" w:cs="Times"/>
        </w:rPr>
        <w:t xml:space="preserve"> Infect Dis 2010;50:133-6</w:t>
      </w:r>
    </w:p>
    <w:p w14:paraId="0CB50A70" w14:textId="0EA5A5E5" w:rsidR="006C5185" w:rsidRDefault="000A767B" w:rsidP="002547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54763">
        <w:rPr>
          <w:rFonts w:ascii="Times" w:hAnsi="Times" w:cs="Times"/>
        </w:rPr>
        <w:t xml:space="preserve">Sawyer RG, </w:t>
      </w:r>
      <w:proofErr w:type="spellStart"/>
      <w:r w:rsidRPr="00254763">
        <w:rPr>
          <w:rFonts w:ascii="Times" w:hAnsi="Times" w:cs="Times"/>
        </w:rPr>
        <w:t>Claridge</w:t>
      </w:r>
      <w:proofErr w:type="spellEnd"/>
      <w:r w:rsidRPr="00254763">
        <w:rPr>
          <w:rFonts w:ascii="Times" w:hAnsi="Times" w:cs="Times"/>
        </w:rPr>
        <w:t xml:space="preserve"> JA, </w:t>
      </w:r>
      <w:proofErr w:type="spellStart"/>
      <w:r w:rsidRPr="00254763">
        <w:rPr>
          <w:rFonts w:ascii="Times" w:hAnsi="Times" w:cs="Times"/>
        </w:rPr>
        <w:t>Nathens</w:t>
      </w:r>
      <w:proofErr w:type="spellEnd"/>
      <w:r w:rsidRPr="00254763">
        <w:rPr>
          <w:rFonts w:ascii="Times" w:hAnsi="Times" w:cs="Times"/>
        </w:rPr>
        <w:t xml:space="preserve"> AB, et al. Trial of short-course antimicrobial therapy for intraabdominal infection. N </w:t>
      </w:r>
      <w:proofErr w:type="spellStart"/>
      <w:r w:rsidRPr="00254763">
        <w:rPr>
          <w:rFonts w:ascii="Times" w:hAnsi="Times" w:cs="Times"/>
        </w:rPr>
        <w:t>Eng</w:t>
      </w:r>
      <w:r w:rsidR="003A6320">
        <w:rPr>
          <w:rFonts w:ascii="Times" w:hAnsi="Times" w:cs="Times"/>
        </w:rPr>
        <w:t>l</w:t>
      </w:r>
      <w:proofErr w:type="spellEnd"/>
      <w:r w:rsidR="003A6320">
        <w:rPr>
          <w:rFonts w:ascii="Times" w:hAnsi="Times" w:cs="Times"/>
        </w:rPr>
        <w:t xml:space="preserve"> J Med. 2015</w:t>
      </w:r>
      <w:proofErr w:type="gramStart"/>
      <w:r w:rsidR="003A6320">
        <w:rPr>
          <w:rFonts w:ascii="Times" w:hAnsi="Times" w:cs="Times"/>
        </w:rPr>
        <w:t>;372</w:t>
      </w:r>
      <w:proofErr w:type="gramEnd"/>
      <w:r w:rsidR="003A6320">
        <w:rPr>
          <w:rFonts w:ascii="Times" w:hAnsi="Times" w:cs="Times"/>
        </w:rPr>
        <w:t>(21):1996-2005.</w:t>
      </w:r>
    </w:p>
    <w:p w14:paraId="5A3D3287" w14:textId="06712243" w:rsidR="00730763" w:rsidRDefault="00730763" w:rsidP="0073076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Extra information: </w:t>
      </w:r>
    </w:p>
    <w:p w14:paraId="253BE947" w14:textId="19776586" w:rsidR="00730763" w:rsidRPr="00730763" w:rsidRDefault="00730763" w:rsidP="0073076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ab/>
        <w:t>The STOP-IT trial shows support</w:t>
      </w:r>
      <w:r w:rsidR="001D464F">
        <w:rPr>
          <w:rFonts w:ascii="Times" w:hAnsi="Times" w:cs="Times"/>
        </w:rPr>
        <w:t xml:space="preserve"> for</w:t>
      </w:r>
      <w:r>
        <w:rPr>
          <w:rFonts w:ascii="Times" w:hAnsi="Times" w:cs="Times"/>
        </w:rPr>
        <w:t xml:space="preserve"> </w:t>
      </w:r>
      <w:r w:rsidR="001D464F">
        <w:rPr>
          <w:rFonts w:ascii="Times" w:hAnsi="Times" w:cs="Times"/>
        </w:rPr>
        <w:t xml:space="preserve">shortened antibiotic use, something </w:t>
      </w:r>
      <w:r>
        <w:rPr>
          <w:rFonts w:ascii="Times" w:hAnsi="Times" w:cs="Times"/>
        </w:rPr>
        <w:t xml:space="preserve">beneficial not only to the patient but for the </w:t>
      </w:r>
      <w:r w:rsidR="001D464F">
        <w:rPr>
          <w:rFonts w:ascii="Times" w:hAnsi="Times" w:cs="Times"/>
        </w:rPr>
        <w:t>institution</w:t>
      </w:r>
      <w:r>
        <w:rPr>
          <w:rFonts w:ascii="Times" w:hAnsi="Times" w:cs="Times"/>
        </w:rPr>
        <w:t xml:space="preserve">. A shortened inpatient antibiotic course assists in decreasing the overall hospital cost for that patient and </w:t>
      </w:r>
      <w:r w:rsidR="001D464F">
        <w:rPr>
          <w:rFonts w:ascii="Times" w:hAnsi="Times" w:cs="Times"/>
        </w:rPr>
        <w:t>also limits</w:t>
      </w:r>
      <w:r>
        <w:rPr>
          <w:rFonts w:ascii="Times" w:hAnsi="Times" w:cs="Times"/>
        </w:rPr>
        <w:t xml:space="preserve"> the amount of time the patient is in contact with possible</w:t>
      </w:r>
      <w:r w:rsidR="001D464F">
        <w:rPr>
          <w:rFonts w:ascii="Times" w:hAnsi="Times" w:cs="Times"/>
        </w:rPr>
        <w:t xml:space="preserve"> </w:t>
      </w:r>
      <w:r w:rsidR="004B2FE5">
        <w:rPr>
          <w:rFonts w:ascii="Times" w:hAnsi="Times" w:cs="Times"/>
        </w:rPr>
        <w:t>infectious microbes. T</w:t>
      </w:r>
      <w:r>
        <w:rPr>
          <w:rFonts w:ascii="Times" w:hAnsi="Times" w:cs="Times"/>
        </w:rPr>
        <w:t>here are</w:t>
      </w:r>
      <w:r w:rsidR="004B2FE5">
        <w:rPr>
          <w:rFonts w:ascii="Times" w:hAnsi="Times" w:cs="Times"/>
        </w:rPr>
        <w:t>, however,</w:t>
      </w:r>
      <w:r>
        <w:rPr>
          <w:rFonts w:ascii="Times" w:hAnsi="Times" w:cs="Times"/>
        </w:rPr>
        <w:t xml:space="preserve"> some limitations with the STOP-IT trial. The results of this trial only apply to a certain patient population, those </w:t>
      </w:r>
      <w:r w:rsidR="004B2FE5">
        <w:rPr>
          <w:rFonts w:ascii="Times" w:hAnsi="Times" w:cs="Times"/>
        </w:rPr>
        <w:t>with intra-abdominal infections who receive</w:t>
      </w:r>
      <w:r>
        <w:rPr>
          <w:rFonts w:ascii="Times" w:hAnsi="Times" w:cs="Times"/>
        </w:rPr>
        <w:t xml:space="preserve"> adequate source control. Source control is not always possible in every patient with intra-abdominal infecti</w:t>
      </w:r>
      <w:r w:rsidR="00C130D2">
        <w:rPr>
          <w:rFonts w:ascii="Times" w:hAnsi="Times" w:cs="Times"/>
        </w:rPr>
        <w:t xml:space="preserve">ons. </w:t>
      </w:r>
      <w:r>
        <w:rPr>
          <w:rFonts w:ascii="Times" w:hAnsi="Times" w:cs="Times"/>
        </w:rPr>
        <w:t xml:space="preserve">The authors also did not list what empiric regimens were used </w:t>
      </w:r>
      <w:r w:rsidR="004B2FE5">
        <w:rPr>
          <w:rFonts w:ascii="Times" w:hAnsi="Times" w:cs="Times"/>
        </w:rPr>
        <w:t>and if any patients failed therapy.</w:t>
      </w:r>
      <w:r w:rsidR="00C130D2">
        <w:rPr>
          <w:rFonts w:ascii="Times" w:hAnsi="Times" w:cs="Times"/>
        </w:rPr>
        <w:t xml:space="preserve"> Length of hospital</w:t>
      </w:r>
      <w:r>
        <w:rPr>
          <w:rFonts w:ascii="Times" w:hAnsi="Times" w:cs="Times"/>
        </w:rPr>
        <w:t xml:space="preserve"> stay </w:t>
      </w:r>
      <w:r w:rsidR="00C130D2">
        <w:rPr>
          <w:rFonts w:ascii="Times" w:hAnsi="Times" w:cs="Times"/>
        </w:rPr>
        <w:t>was also something not assessed</w:t>
      </w:r>
      <w:r>
        <w:rPr>
          <w:rFonts w:ascii="Times" w:hAnsi="Times" w:cs="Times"/>
        </w:rPr>
        <w:t xml:space="preserve"> </w:t>
      </w:r>
      <w:r w:rsidR="00C130D2">
        <w:rPr>
          <w:rFonts w:ascii="Times" w:hAnsi="Times" w:cs="Times"/>
        </w:rPr>
        <w:t xml:space="preserve">between </w:t>
      </w:r>
      <w:r>
        <w:rPr>
          <w:rFonts w:ascii="Times" w:hAnsi="Times" w:cs="Times"/>
        </w:rPr>
        <w:t xml:space="preserve">the control and </w:t>
      </w:r>
      <w:r w:rsidR="004B2FE5">
        <w:rPr>
          <w:rFonts w:ascii="Times" w:hAnsi="Times" w:cs="Times"/>
        </w:rPr>
        <w:t>experimental</w:t>
      </w:r>
      <w:r w:rsidR="00C130D2">
        <w:rPr>
          <w:rFonts w:ascii="Times" w:hAnsi="Times" w:cs="Times"/>
        </w:rPr>
        <w:t xml:space="preserve"> group. </w:t>
      </w:r>
      <w:r>
        <w:rPr>
          <w:rFonts w:ascii="Times" w:hAnsi="Times" w:cs="Times"/>
        </w:rPr>
        <w:t>The article did not report the number of patients who had sever</w:t>
      </w:r>
      <w:r w:rsidR="00C130D2">
        <w:rPr>
          <w:rFonts w:ascii="Times" w:hAnsi="Times" w:cs="Times"/>
        </w:rPr>
        <w:t>e sepsis, septic shock or both. Overall, t</w:t>
      </w:r>
      <w:r w:rsidR="004B2FE5">
        <w:rPr>
          <w:rFonts w:ascii="Times" w:hAnsi="Times" w:cs="Times"/>
        </w:rPr>
        <w:t xml:space="preserve">he results from this trial are applicable to all institutions and serve as a resource to back up recommendations for </w:t>
      </w:r>
      <w:r w:rsidR="004B2FE5">
        <w:rPr>
          <w:rFonts w:ascii="Times" w:hAnsi="Times" w:cs="Times"/>
        </w:rPr>
        <w:lastRenderedPageBreak/>
        <w:t xml:space="preserve">shortening therapy. </w:t>
      </w:r>
      <w:r w:rsidR="00C130D2">
        <w:rPr>
          <w:rFonts w:ascii="Times" w:hAnsi="Times" w:cs="Times"/>
        </w:rPr>
        <w:t xml:space="preserve">As pharmacists, we are advocates of antimicrobial stewardship and having as much data as possible to </w:t>
      </w:r>
      <w:r w:rsidR="00B70F6A">
        <w:rPr>
          <w:rFonts w:ascii="Times" w:hAnsi="Times" w:cs="Times"/>
        </w:rPr>
        <w:t>support</w:t>
      </w:r>
      <w:r w:rsidR="00C130D2">
        <w:rPr>
          <w:rFonts w:ascii="Times" w:hAnsi="Times" w:cs="Times"/>
        </w:rPr>
        <w:t xml:space="preserve"> recommendations for therapy </w:t>
      </w:r>
      <w:r w:rsidR="00B70F6A">
        <w:rPr>
          <w:rFonts w:ascii="Times" w:hAnsi="Times" w:cs="Times"/>
        </w:rPr>
        <w:t xml:space="preserve">improves </w:t>
      </w:r>
      <w:r w:rsidR="00C130D2">
        <w:rPr>
          <w:rFonts w:ascii="Times" w:hAnsi="Times" w:cs="Times"/>
        </w:rPr>
        <w:t xml:space="preserve">our ability to care for patients. </w:t>
      </w:r>
    </w:p>
    <w:sectPr w:rsidR="00730763" w:rsidRPr="00730763" w:rsidSect="00856A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3FE1"/>
    <w:multiLevelType w:val="hybridMultilevel"/>
    <w:tmpl w:val="F864AC40"/>
    <w:lvl w:ilvl="0" w:tplc="BC64E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5D04"/>
    <w:multiLevelType w:val="hybridMultilevel"/>
    <w:tmpl w:val="76786AF6"/>
    <w:lvl w:ilvl="0" w:tplc="E48A1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0F8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E9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0D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76F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C6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447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C3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08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D3744E"/>
    <w:multiLevelType w:val="hybridMultilevel"/>
    <w:tmpl w:val="295AB3BE"/>
    <w:lvl w:ilvl="0" w:tplc="03728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6B5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49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1E4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06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BAE9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8A5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E7E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E3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4A59C4"/>
    <w:multiLevelType w:val="hybridMultilevel"/>
    <w:tmpl w:val="EADCB8EC"/>
    <w:lvl w:ilvl="0" w:tplc="CC30C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C60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21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562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C3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9CF6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4A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438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C69D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B852F8"/>
    <w:multiLevelType w:val="hybridMultilevel"/>
    <w:tmpl w:val="5B82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85"/>
    <w:rsid w:val="000A767B"/>
    <w:rsid w:val="001840DF"/>
    <w:rsid w:val="001D464F"/>
    <w:rsid w:val="00254763"/>
    <w:rsid w:val="00346A6F"/>
    <w:rsid w:val="00374FD4"/>
    <w:rsid w:val="00396B94"/>
    <w:rsid w:val="003A6320"/>
    <w:rsid w:val="004B2FE5"/>
    <w:rsid w:val="004C3076"/>
    <w:rsid w:val="00593CFB"/>
    <w:rsid w:val="006C5185"/>
    <w:rsid w:val="00730763"/>
    <w:rsid w:val="00833DBF"/>
    <w:rsid w:val="00856AFE"/>
    <w:rsid w:val="00AE1CE0"/>
    <w:rsid w:val="00B31360"/>
    <w:rsid w:val="00B70F6A"/>
    <w:rsid w:val="00C067BD"/>
    <w:rsid w:val="00C130D2"/>
    <w:rsid w:val="00DF5FD4"/>
    <w:rsid w:val="00EF3F21"/>
    <w:rsid w:val="00F0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0FDCF"/>
  <w14:defaultImageDpi w14:val="300"/>
  <w15:docId w15:val="{D9CB5D55-77A2-4C50-8649-B4337F52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246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282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9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21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73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Wiley</dc:creator>
  <cp:keywords/>
  <dc:description/>
  <cp:lastModifiedBy>Jordan Foster</cp:lastModifiedBy>
  <cp:revision>4</cp:revision>
  <dcterms:created xsi:type="dcterms:W3CDTF">2015-11-20T21:59:00Z</dcterms:created>
  <dcterms:modified xsi:type="dcterms:W3CDTF">2015-12-15T20:29:00Z</dcterms:modified>
</cp:coreProperties>
</file>